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Cognizance and Complaints a matter involving electronic records and digital material</w:t>
      </w:r>
    </w:p>
    <w:p>
      <w:pPr>
        <w:spacing w:before="0" w:after="160" w:line="269" w:lineRule="auto"/>
        <w:jc w:val="center"/>
      </w:pPr>
      <w:r>
        <w:rPr>
          <w:rFonts w:ascii="Times New Roman" w:hAnsi="Times New Roman"/>
          <w:b w:val="0"/>
          <w:i w:val="0"/>
          <w:color w:val="000000"/>
          <w:sz w:val="18"/>
        </w:rPr>
        <w:t>BNSS Law drafts  |  Cognizance and Complaints  |  Resource ID LAW-02-04-026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Cognizance and Complaints a matter involving electronic records and digital material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